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8D" w:rsidRDefault="00282268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Na podlagi Pravilnika o dodeljevanju finančnih sredstev iz občinskega proračuna za 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pospeševanje razvoja malega gospodarstva v </w:t>
      </w:r>
      <w:r w:rsidR="002E2C39" w:rsidRPr="00B23647">
        <w:rPr>
          <w:rFonts w:ascii="Times New Roman" w:eastAsia="Tahoma" w:hAnsi="Times New Roman" w:cs="Times New Roman"/>
          <w:sz w:val="24"/>
          <w:szCs w:val="24"/>
        </w:rPr>
        <w:t>O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 (Uradn</w:t>
      </w:r>
      <w:r w:rsidR="00BB468D" w:rsidRPr="00B23647">
        <w:rPr>
          <w:rFonts w:ascii="Times New Roman" w:eastAsia="Tahoma" w:hAnsi="Times New Roman" w:cs="Times New Roman"/>
          <w:sz w:val="24"/>
          <w:szCs w:val="24"/>
        </w:rPr>
        <w:t>i list RS, št.</w:t>
      </w:r>
      <w:r w:rsidR="002E2C39" w:rsidRPr="00B2364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6D8B"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36</w:t>
      </w:r>
      <w:r w:rsidR="002E2C39"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/201</w:t>
      </w:r>
      <w:r w:rsidR="002C6D8B"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9</w:t>
      </w:r>
      <w:r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) 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in </w:t>
      </w:r>
      <w:r w:rsidR="00BB468D">
        <w:rPr>
          <w:rFonts w:ascii="Times New Roman" w:eastAsia="Tahoma" w:hAnsi="Times New Roman" w:cs="Times New Roman"/>
          <w:sz w:val="24"/>
          <w:szCs w:val="24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</w:rPr>
        <w:t>dloka o prora</w:t>
      </w:r>
      <w:r w:rsidR="00BB468D">
        <w:rPr>
          <w:rFonts w:ascii="Times New Roman" w:eastAsia="Tahoma" w:hAnsi="Times New Roman" w:cs="Times New Roman"/>
          <w:sz w:val="24"/>
          <w:szCs w:val="24"/>
        </w:rPr>
        <w:t>č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unu občine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>za leto 201</w:t>
      </w:r>
      <w:r w:rsidR="007B346C">
        <w:rPr>
          <w:rFonts w:ascii="Times New Roman" w:eastAsia="Tahoma" w:hAnsi="Times New Roman" w:cs="Times New Roman"/>
          <w:sz w:val="24"/>
          <w:szCs w:val="24"/>
        </w:rPr>
        <w:t>9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 (Uradn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i list RS, št. </w:t>
      </w:r>
      <w:r w:rsidR="00A3267C">
        <w:rPr>
          <w:rFonts w:ascii="Times New Roman" w:eastAsia="Tahoma" w:hAnsi="Times New Roman" w:cs="Times New Roman"/>
          <w:sz w:val="24"/>
          <w:szCs w:val="24"/>
        </w:rPr>
        <w:t>14</w:t>
      </w:r>
      <w:r w:rsidR="00BB468D">
        <w:rPr>
          <w:rFonts w:ascii="Times New Roman" w:eastAsia="Tahoma" w:hAnsi="Times New Roman" w:cs="Times New Roman"/>
          <w:sz w:val="24"/>
          <w:szCs w:val="24"/>
        </w:rPr>
        <w:t>/201</w:t>
      </w:r>
      <w:r w:rsidR="007B346C">
        <w:rPr>
          <w:rFonts w:ascii="Times New Roman" w:eastAsia="Tahoma" w:hAnsi="Times New Roman" w:cs="Times New Roman"/>
          <w:sz w:val="24"/>
          <w:szCs w:val="24"/>
        </w:rPr>
        <w:t>9</w:t>
      </w:r>
      <w:r w:rsidR="00BB468D">
        <w:rPr>
          <w:rFonts w:ascii="Times New Roman" w:eastAsia="Tahoma" w:hAnsi="Times New Roman" w:cs="Times New Roman"/>
          <w:sz w:val="24"/>
          <w:szCs w:val="24"/>
        </w:rPr>
        <w:t>)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B468D">
        <w:rPr>
          <w:rFonts w:ascii="Times New Roman" w:eastAsia="Tahoma" w:hAnsi="Times New Roman" w:cs="Times New Roman"/>
          <w:sz w:val="24"/>
          <w:szCs w:val="24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bčina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objavlja </w:t>
      </w:r>
    </w:p>
    <w:p w:rsidR="00BB468D" w:rsidRPr="00282268" w:rsidRDefault="00BB468D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2268" w:rsidRPr="00BB468D" w:rsidRDefault="00282268" w:rsidP="00BB468D">
      <w:pPr>
        <w:spacing w:after="0" w:line="240" w:lineRule="auto"/>
        <w:ind w:right="720"/>
        <w:jc w:val="center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JAVNI RAZPIS</w:t>
      </w:r>
    </w:p>
    <w:p w:rsidR="00282268" w:rsidRDefault="00282268" w:rsidP="00BB468D">
      <w:pPr>
        <w:spacing w:after="0" w:line="240" w:lineRule="auto"/>
        <w:ind w:right="680"/>
        <w:jc w:val="center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za dodelitev finančnih sredstev iz občinskega proračuna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pospeševanje razvoja malega gospodarstva v 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leto 201</w:t>
      </w:r>
      <w:r w:rsidR="007B346C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BB468D" w:rsidRDefault="00282268" w:rsidP="00BB468D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284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PREDMET JAVNEGA</w:t>
      </w:r>
      <w:r w:rsid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RAZPISA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BB468D">
      <w:pPr>
        <w:spacing w:after="0" w:line="240" w:lineRule="auto"/>
        <w:ind w:firstLine="1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Predmet javnega razpisa je dodelitev nepovratnih finančnih sredstev iz Proračuna 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skladno s Pravilnikom o dodeljevanju finančnih sredstev iz občinskega proračuna za pospeševanje razvoja malega gospodarstva v </w:t>
      </w:r>
      <w:r w:rsidR="002E2C39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bčini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282268" w:rsidRPr="00282268" w:rsidRDefault="00282268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V letu 201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bodo sredstva namenjena naslednjim ukrepom:</w:t>
      </w:r>
    </w:p>
    <w:p w:rsidR="00282268" w:rsidRPr="00282268" w:rsidRDefault="00282268" w:rsidP="00BB468D">
      <w:pPr>
        <w:tabs>
          <w:tab w:val="left" w:pos="4060"/>
          <w:tab w:val="left" w:pos="736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97191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A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: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začetnih investicij</w:t>
      </w:r>
      <w:r w:rsidRPr="0028226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 inv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esticij v razširjene dejavnosti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 razvoj,</w:t>
      </w:r>
    </w:p>
    <w:p w:rsidR="00282268" w:rsidRPr="00282268" w:rsidRDefault="00282268" w:rsidP="00BB468D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97191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: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odpiranja novih delovnih mest in samozaposlovanja.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68D" w:rsidRPr="00BB468D" w:rsidRDefault="00921188" w:rsidP="00921188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VIŠINA SREDSTEV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97191E" w:rsidRDefault="00282268" w:rsidP="00BB468D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Skupna višina finančnih sredstev, ki se dodeljujejo na podlagi javnega razpisa za pospeševanje razvoja malega gospodarstva 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leto 201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znaša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13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000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€, in sicer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ukrep 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>A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</w:t>
      </w:r>
      <w:r w:rsidR="00921188">
        <w:rPr>
          <w:rFonts w:ascii="Times New Roman" w:eastAsia="Tahoma" w:hAnsi="Times New Roman" w:cs="Times New Roman"/>
          <w:sz w:val="24"/>
          <w:szCs w:val="24"/>
          <w:lang w:eastAsia="sl-SI"/>
        </w:rPr>
        <w:t>z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ačetnih investicij in investicij v razširjene </w:t>
      </w:r>
      <w:r w:rsidR="0092118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dejavnosti in razvoj) v višini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921188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,00 €, za ukrep </w:t>
      </w:r>
      <w:r w:rsidR="0097191E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odpiranja novih delovnih mest in samozaposlovanja) pa v višini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921188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="00921188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€.</w:t>
      </w:r>
    </w:p>
    <w:p w:rsidR="00282268" w:rsidRPr="0097191E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C6D8B" w:rsidRDefault="00282268" w:rsidP="00921188">
      <w:pPr>
        <w:tabs>
          <w:tab w:val="left" w:pos="130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V prora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unu</w:t>
      </w:r>
      <w:r w:rsidRPr="002C6D8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občine </w:t>
      </w:r>
      <w:r w:rsidR="00A326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so za navedena ukrepa zagotovljena sredstva na prora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unski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postavk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PP 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14006</w:t>
      </w:r>
      <w:r w:rsidR="00167B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410299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167B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višini 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13.000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€.</w:t>
      </w:r>
    </w:p>
    <w:p w:rsidR="00282268" w:rsidRPr="00282268" w:rsidRDefault="00282268" w:rsidP="0092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106ED5" w:rsidP="00921188">
      <w:pPr>
        <w:tabs>
          <w:tab w:val="left" w:pos="560"/>
          <w:tab w:val="left" w:pos="240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6ED5">
        <w:rPr>
          <w:rFonts w:ascii="Times New Roman" w:eastAsia="Tahoma" w:hAnsi="Times New Roman" w:cs="Times New Roman"/>
          <w:sz w:val="24"/>
          <w:szCs w:val="24"/>
          <w:lang w:eastAsia="sl-SI"/>
        </w:rPr>
        <w:t>Sredstva pomoči po tem pravilniku se dodeljujejo kot nepovratna finančna sredstva v določeni višini za posamezne ukrepe v obliki dotacij oziroma subvencij.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695E" w:rsidRPr="00BB468D" w:rsidRDefault="00F2695E" w:rsidP="00F2695E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NAMEN RAZPISA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F2695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Sredstva za ukrep </w:t>
      </w:r>
      <w:r w:rsidR="00106ED5">
        <w:rPr>
          <w:rFonts w:ascii="Times New Roman" w:eastAsia="Tahoma" w:hAnsi="Times New Roman" w:cs="Times New Roman"/>
          <w:sz w:val="24"/>
          <w:szCs w:val="24"/>
          <w:lang w:eastAsia="sl-SI"/>
        </w:rPr>
        <w:t>A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začetnih investicij in investicij v razširjene  dejavnosti in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razvoj) so namenjena sofinanciranju</w:t>
      </w:r>
      <w:r w:rsidR="00F269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upravičenih stroškov za materialne in nematerialne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investicije.</w:t>
      </w:r>
    </w:p>
    <w:p w:rsidR="00282268" w:rsidRPr="00282268" w:rsidRDefault="00282268" w:rsidP="0092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921188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Namen ukrepa </w:t>
      </w:r>
      <w:r w:rsidR="00106ED5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odpiranja novih delovnih mest in samozaposlovanja) je povečanje števila zaposlenih in ustvarjanje novih delovnih mest ter zmanjševanje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brezposelnosti.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695E" w:rsidRPr="00BB468D" w:rsidRDefault="00F2695E" w:rsidP="00F2695E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UKREPI</w:t>
      </w:r>
    </w:p>
    <w:p w:rsid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106ED5" w:rsidRDefault="00282268" w:rsidP="00106ED5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06ED5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Spodbujanje začetnih investicij in investicij v razširjene dejavnosti  in razvoj:</w:t>
      </w:r>
    </w:p>
    <w:p w:rsidR="00282268" w:rsidRDefault="00282268" w:rsidP="00BB468D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 stro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>ški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F2695E" w:rsidRPr="00282268" w:rsidRDefault="00F2695E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materialnih investicij, ki pomenijo investicijo v opredmetena osnovna sredstva: stroji in oprema, nakup zemljišč,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komunalnega in infrastrukturnega opremljanja zemljišč,</w:t>
      </w:r>
      <w:r w:rsidR="00CB7D8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</w:t>
      </w:r>
      <w:r w:rsidR="00CB7D8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gradnje 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 –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ali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nakup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oziroma preureditev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objekta,</w:t>
      </w:r>
    </w:p>
    <w:p w:rsidR="00CB7D8C" w:rsidRPr="00282268" w:rsidRDefault="00CB7D8C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stroški nematerialnih investicij, ki pomenijo investicijo v neopredmetena osnovna sredstva: nakup patentov, licenc, znanja in izkušenj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–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know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how ali </w:t>
      </w:r>
      <w:proofErr w:type="spellStart"/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nepatentiranega</w:t>
      </w:r>
      <w:proofErr w:type="spellEnd"/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tehničnega znanja ter programske opreme.</w:t>
      </w:r>
    </w:p>
    <w:p w:rsidR="00CB7D8C" w:rsidRPr="00282268" w:rsidRDefault="00CB7D8C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</w:rPr>
        <w:t>Povečanje obstoječe proizvodnje izdelkov, ki jih upravi</w:t>
      </w:r>
      <w:r>
        <w:rPr>
          <w:rFonts w:ascii="Times New Roman" w:eastAsia="Tahoma" w:hAnsi="Times New Roman" w:cs="Times New Roman"/>
          <w:sz w:val="24"/>
          <w:szCs w:val="24"/>
        </w:rPr>
        <w:t>č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enec </w:t>
      </w:r>
      <w:r>
        <w:rPr>
          <w:rFonts w:ascii="Times New Roman" w:eastAsia="Tahoma" w:hAnsi="Times New Roman" w:cs="Times New Roman"/>
          <w:sz w:val="24"/>
          <w:szCs w:val="24"/>
        </w:rPr>
        <w:t>ž</w:t>
      </w:r>
      <w:r w:rsidRPr="00282268">
        <w:rPr>
          <w:rFonts w:ascii="Times New Roman" w:eastAsia="Tahoma" w:hAnsi="Times New Roman" w:cs="Times New Roman"/>
          <w:sz w:val="24"/>
          <w:szCs w:val="24"/>
        </w:rPr>
        <w:t>e proizvaja in povečanje obsega storitev, ki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jih upravičenec </w:t>
      </w:r>
      <w:r>
        <w:rPr>
          <w:rFonts w:ascii="Times New Roman" w:eastAsia="Tahoma" w:hAnsi="Times New Roman" w:cs="Times New Roman"/>
          <w:sz w:val="24"/>
          <w:szCs w:val="24"/>
        </w:rPr>
        <w:t>ž</w:t>
      </w:r>
      <w:r w:rsidRPr="00282268">
        <w:rPr>
          <w:rFonts w:ascii="Times New Roman" w:eastAsia="Tahoma" w:hAnsi="Times New Roman" w:cs="Times New Roman"/>
          <w:sz w:val="24"/>
          <w:szCs w:val="24"/>
        </w:rPr>
        <w:t>e opravlja, se po tem ukrepu ne štejejo za upravičen</w:t>
      </w:r>
      <w:r>
        <w:rPr>
          <w:rFonts w:ascii="Times New Roman" w:eastAsia="Tahoma" w:hAnsi="Times New Roman" w:cs="Times New Roman"/>
          <w:sz w:val="24"/>
          <w:szCs w:val="24"/>
        </w:rPr>
        <w:t>e stroške</w:t>
      </w:r>
      <w:r w:rsidRPr="00282268">
        <w:rPr>
          <w:rFonts w:ascii="Times New Roman" w:eastAsia="Tahoma" w:hAnsi="Times New Roman" w:cs="Times New Roman"/>
          <w:sz w:val="24"/>
          <w:szCs w:val="24"/>
        </w:rPr>
        <w:t>.</w:t>
      </w:r>
    </w:p>
    <w:p w:rsidR="00CB7D8C" w:rsidRPr="00167B7C" w:rsidRDefault="00CB7D8C" w:rsidP="00CB7D8C">
      <w:pPr>
        <w:pStyle w:val="Odstavekseznama"/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Višina sofinanciranja upravičenih stroškov znaša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50 % upravičenih stroškov za posamezna investicijska vlaganja ali nakup nematerialnih pravic oz. največ do višine razpoložljivih proračunskih sredstev,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pri čemer se dodeljene pomoči med 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seboj seštevajo.</w:t>
      </w:r>
    </w:p>
    <w:p w:rsidR="00CB6FDD" w:rsidRPr="00167B7C" w:rsidRDefault="00CB6FDD" w:rsidP="00167B7C">
      <w:pPr>
        <w:pStyle w:val="Odstavekseznama"/>
        <w:numPr>
          <w:ilvl w:val="0"/>
          <w:numId w:val="9"/>
        </w:numPr>
        <w:tabs>
          <w:tab w:val="left" w:pos="760"/>
        </w:tabs>
        <w:rPr>
          <w:rFonts w:ascii="Times New Roman" w:eastAsia="Tahoma" w:hAnsi="Times New Roman" w:cs="Times New Roman"/>
          <w:bCs/>
          <w:sz w:val="24"/>
          <w:szCs w:val="24"/>
          <w:lang w:eastAsia="sl-SI"/>
        </w:rPr>
      </w:pP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Materialna in/ali nematerialna investicija mora ostati v lasti upravičenca najmanj </w:t>
      </w:r>
      <w:r w:rsidR="00167B7C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2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let</w:t>
      </w:r>
      <w:r w:rsidR="00167B7C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="00167B7C" w:rsidRPr="00167B7C">
        <w:rPr>
          <w:rFonts w:ascii="Times New Roman" w:eastAsia="Calibri" w:hAnsi="Times New Roman" w:cs="Times New Roman"/>
          <w:bCs/>
        </w:rPr>
        <w:t xml:space="preserve"> </w:t>
      </w:r>
      <w:r w:rsidR="00167B7C" w:rsidRPr="00167B7C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t>po končani investiciji oziroma se lahko pred iztekom tega obdobja nadomesti z novo, sodobnejšo opremo za enako dejavnost.</w:t>
      </w:r>
    </w:p>
    <w:p w:rsidR="00167B7C" w:rsidRPr="00167B7C" w:rsidRDefault="00167B7C" w:rsidP="00167B7C">
      <w:pPr>
        <w:pStyle w:val="Odstavekseznama"/>
        <w:tabs>
          <w:tab w:val="left" w:pos="760"/>
        </w:tabs>
        <w:ind w:left="1080"/>
        <w:rPr>
          <w:rFonts w:ascii="Times New Roman" w:eastAsia="Tahoma" w:hAnsi="Times New Roman" w:cs="Times New Roman"/>
          <w:bCs/>
          <w:sz w:val="24"/>
          <w:szCs w:val="24"/>
          <w:lang w:eastAsia="sl-SI"/>
        </w:rPr>
      </w:pPr>
    </w:p>
    <w:p w:rsidR="00CB6FDD" w:rsidRPr="00F2695E" w:rsidRDefault="00CB6FDD" w:rsidP="00106ED5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2695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Spodbujanje </w:t>
      </w: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odpiranja novih delovnih mest in samozaposlovanja</w:t>
      </w:r>
    </w:p>
    <w:p w:rsidR="00CB6FDD" w:rsidRDefault="00CB6FDD" w:rsidP="001505A2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 stro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ški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CB6FDD" w:rsidRDefault="00CB6FDD" w:rsidP="001505A2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za realizacijo samozaposlitve osebe, ki je na zavodu RS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 zaposlovanje (v nadaljevanju: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ZRSZ) prijavljena kot brezposelna oseba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CB6FDD" w:rsidRDefault="00CB6FDD" w:rsidP="001505A2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dela plače za zaposlitev brezposelne osebe, ki je na ZRSZ prijavljena kot brezposelna oseba.</w:t>
      </w:r>
    </w:p>
    <w:p w:rsidR="00CB6FDD" w:rsidRPr="001505A2" w:rsidRDefault="001505A2" w:rsidP="0010569F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sz w:val="24"/>
          <w:szCs w:val="24"/>
          <w:lang w:eastAsia="sl-SI"/>
        </w:rPr>
        <w:t>Višina sofinanciranja upravičenih stroškov je največ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</w:t>
      </w:r>
      <w:r w:rsidRPr="001505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višine razpoložljivih proračunskih sredstev. </w:t>
      </w:r>
    </w:p>
    <w:p w:rsidR="00282268" w:rsidRDefault="00282268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Default="001505A2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1445BB" w:rsidRDefault="001505A2" w:rsidP="001445BB">
      <w:pPr>
        <w:pStyle w:val="Odstavekseznama"/>
        <w:numPr>
          <w:ilvl w:val="0"/>
          <w:numId w:val="16"/>
        </w:numPr>
        <w:tabs>
          <w:tab w:val="left" w:pos="426"/>
        </w:tabs>
        <w:spacing w:after="0" w:line="240" w:lineRule="auto"/>
        <w:ind w:left="-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445BB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POGOJI ZA DODELITEV SREDSTEV, KI SO PREDMET JAVNEGA RAZPISA</w:t>
      </w:r>
    </w:p>
    <w:p w:rsidR="00282268" w:rsidRDefault="00282268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1505A2" w:rsidRDefault="001505A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POGOJI GLEDE UPRAVIČENOSTI STROŠKOV:</w:t>
      </w:r>
    </w:p>
    <w:p w:rsidR="001505A2" w:rsidRDefault="001505A2" w:rsidP="001505A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841FF4" w:rsidRDefault="001505A2" w:rsidP="001505A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Upravičeni stroški morajo nastati in biti plačani v obdobju od 01. 01. 201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. 201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Izplačilo sredstev</w:t>
      </w:r>
      <w:r w:rsidR="001445B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se  izvrši do konca leta 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201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505A2" w:rsidRDefault="001505A2" w:rsidP="001505A2">
      <w:pPr>
        <w:pStyle w:val="Odstavekseznama"/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1505A2" w:rsidRDefault="001505A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UPRAVIČENCI: </w:t>
      </w:r>
    </w:p>
    <w:p w:rsidR="00DC4093" w:rsidRPr="001505A2" w:rsidRDefault="00DC4093" w:rsidP="00DC4093">
      <w:pPr>
        <w:pStyle w:val="Odstavekseznama"/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1505A2" w:rsidRDefault="00DC4093" w:rsidP="00DC4093">
      <w:pPr>
        <w:pStyle w:val="Odstavekseznama"/>
        <w:numPr>
          <w:ilvl w:val="0"/>
          <w:numId w:val="3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Upravičenci do finančnih sredstev, ki so predmet javnega razpisa so: </w:t>
      </w:r>
    </w:p>
    <w:p w:rsidR="00DC4093" w:rsidRPr="00841FF4" w:rsidRDefault="00841FF4" w:rsidP="00841FF4">
      <w:pPr>
        <w:pStyle w:val="Odstavekseznam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proofErr w:type="spellStart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Mikro</w:t>
      </w:r>
      <w:proofErr w:type="spellEnd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majhna enotna podjetja, ki izpolnjujejo pogoje v skladu z zakonodajo o gospodarskih družbah in drugih veljavnih predpisih s tega področja ali pa poslujejo kot samostojni podjetniki posamezniki (pri samostojnih podjetnikih posameznikih se vsi pogoji za </w:t>
      </w:r>
      <w:proofErr w:type="spellStart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mikro</w:t>
      </w:r>
      <w:proofErr w:type="spellEnd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majhna podjetja smiselno upoštevajo), ki imajo sedež dejavnosti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Do sredstev je upravičeno tudi podjetje, ki ima sedež dejavnosti izven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v kolikor ima poslovno enoto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v kateri zaposluje najmanj 2/3 oseb za nedoločen čas iz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(stalno prebivališče)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 investira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Če ima podjetje sedež dejavnosti izven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lahko poda vlogo samo za ukrepe, ki se nanašajo na poslovne enote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253BFB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DC4093" w:rsidRDefault="00253BFB" w:rsidP="00DC4093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f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izične osebe s stalnim bivališčem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, kadar gre za sofinanciranje samozaposlitve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841FF4" w:rsidRDefault="00253BFB" w:rsidP="00DC4093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bčani, ki so pri pristojnem upravnem organu vložili zahtevo za izdajo dovoljenja za opravljanje dejavnosti oziroma pri pristojnem sodišču priglasitev za vpis v sodni register in predložili vse predpisane dokumente za ustanovitev podjetja</w:t>
      </w:r>
      <w:r w:rsidR="00841FF4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DC4093" w:rsidRPr="00841FF4" w:rsidRDefault="00253BFB" w:rsidP="0010569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>b</w:t>
      </w:r>
      <w:r w:rsidR="00DC4093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rezposelne fizične osebe, ki so državljani Republike Slovenije in imajo stalno bivališče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DC4093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, dejavnost, ki jo želijo registrirati, pa mora predstavljati njihov edini in glavni poklic (velja za upravičence za samozaposlitve).</w:t>
      </w:r>
    </w:p>
    <w:p w:rsidR="001A7EAC" w:rsidRPr="001A7EAC" w:rsidRDefault="001A7EAC" w:rsidP="001A7EAC">
      <w:pPr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A7EAC" w:rsidRDefault="001A7EAC" w:rsidP="00F27902">
      <w:pPr>
        <w:pStyle w:val="Odstavekseznama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opredelitev velikosti podjetja se upoštevajo določila iz Priloge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Uredbe komisije (ES) št. 800/2008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 dne 6. 8. 2008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A7EAC" w:rsidRPr="001A7EAC" w:rsidRDefault="001A7EAC" w:rsidP="00F27902">
      <w:pPr>
        <w:pStyle w:val="Odstavekseznama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445BB" w:rsidRPr="001445BB" w:rsidRDefault="001A7EAC" w:rsidP="001445BB">
      <w:pPr>
        <w:pStyle w:val="Odstavekseznama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>Enotno podjetje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pomeni vsa podjetja, ki so med seboj najmanj v enem od naslednjih razmerij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 ima večino glasovalnih pravic delničarjev ali družbenikov drugega podjetja,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 ima pravico imenovati ali odpoklicati večino članov upravnega, poslovodnega ali nadzornega organa drugega podjetja,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pogodba med podjetjema ali določba v njuni družbeni pogodbi ali statutu daje pravico enemu podjetju, da izvršuje prevladujoč vpliv na drugo podjetje,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podjetje, ki je delničar ali družbenik drugega podjetja, na podlagi dogovora, samo nadzoruje večino glasovalnih pravic,</w:t>
      </w:r>
    </w:p>
    <w:p w:rsidR="00D84570" w:rsidRPr="001445BB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podjetja, ki so v katerem koli razmerju, iz prejšnjih alinej, preko enega ali več drugih podjetij, so prav tako »enotno podjetje«.</w:t>
      </w:r>
    </w:p>
    <w:p w:rsidR="001505A2" w:rsidRPr="00F27902" w:rsidRDefault="001505A2" w:rsidP="00F27902">
      <w:pPr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Pr="00F27902" w:rsidRDefault="00F2790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SPLOŠNA DOLOČILA OZIROMA POGOJI UPRAVIČENOSTI</w:t>
      </w:r>
    </w:p>
    <w:p w:rsidR="00F27902" w:rsidRDefault="00F27902" w:rsidP="00F27902">
      <w:pPr>
        <w:pStyle w:val="Odstavekseznama"/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Default="00F27902" w:rsidP="00F2790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Splošna določila, ki veljajo ne glede na ukrep, opredeljen  v tem razpisu, so: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F27902" w:rsidRDefault="00F27902" w:rsidP="001445BB">
      <w:pPr>
        <w:pStyle w:val="Odstavekseznama"/>
        <w:numPr>
          <w:ilvl w:val="0"/>
          <w:numId w:val="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pomoč se dodeli na podlagi vloge, opredeljene z javnim razpisom</w:t>
      </w:r>
    </w:p>
    <w:p w:rsidR="00F27902" w:rsidRDefault="00F27902" w:rsidP="001445BB">
      <w:pPr>
        <w:pStyle w:val="Odstavekseznama"/>
        <w:numPr>
          <w:ilvl w:val="0"/>
          <w:numId w:val="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nalo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ba, za katero se dodeli pomoč, se ne sme uporabljati v nasprotju z namenom dodelitve sredstev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27902" w:rsidRDefault="00F27902" w:rsidP="00F2790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Pr="00D84570" w:rsidRDefault="00F27902" w:rsidP="00D84570">
      <w:pPr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 </w:t>
      </w:r>
      <w:r w:rsidR="00D845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sredstev pomoči niso upravičena podjetja: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ki po Standardni klasifikaciji dejavnosti opravljajo dejavnost iz sektorjev ribištva in akvakulture,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primarne proizvodnje kmetijskih proizvodov iz seznama v Prilogi I k Pogodbi o ustanovitvi Evropske skupnosti,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predelave in trženja kmetijskih proizvodov iz seznama v Prilogi I k Pogodbi v naslednjih primerih:</w:t>
      </w:r>
    </w:p>
    <w:p w:rsidR="00FD5EAF" w:rsidRDefault="001445BB" w:rsidP="001445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="00D84570" w:rsidRPr="005F23DA">
        <w:rPr>
          <w:rFonts w:ascii="Times New Roman" w:hAnsi="Times New Roman"/>
        </w:rPr>
        <w:t>če je znesek pomoči določen na podlagi cene ali količine zadevnih proizvodov, ki so</w:t>
      </w:r>
      <w:r w:rsidR="00D84570">
        <w:rPr>
          <w:rFonts w:ascii="Times New Roman" w:hAnsi="Times New Roman"/>
        </w:rPr>
        <w:t xml:space="preserve"> </w:t>
      </w:r>
      <w:r w:rsidR="00D84570" w:rsidRPr="005F23DA">
        <w:rPr>
          <w:rFonts w:ascii="Times New Roman" w:hAnsi="Times New Roman"/>
        </w:rPr>
        <w:t>kupljeni</w:t>
      </w:r>
      <w:r>
        <w:rPr>
          <w:rFonts w:ascii="Times New Roman" w:hAnsi="Times New Roman"/>
        </w:rPr>
        <w:t xml:space="preserve">  </w:t>
      </w:r>
    </w:p>
    <w:p w:rsidR="00D84570" w:rsidRDefault="00FD5EAF" w:rsidP="001445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84570" w:rsidRPr="005F23DA">
        <w:rPr>
          <w:rFonts w:ascii="Times New Roman" w:hAnsi="Times New Roman"/>
        </w:rPr>
        <w:t>od primarnih proizvajalcev ali j</w:t>
      </w:r>
      <w:r w:rsidR="00D84570">
        <w:rPr>
          <w:rFonts w:ascii="Times New Roman" w:hAnsi="Times New Roman"/>
        </w:rPr>
        <w:t>ih zadevna podjetja dajo na trg</w:t>
      </w:r>
      <w:r>
        <w:rPr>
          <w:rFonts w:ascii="Times New Roman" w:hAnsi="Times New Roman"/>
        </w:rPr>
        <w:t>,</w:t>
      </w:r>
    </w:p>
    <w:p w:rsidR="00D84570" w:rsidRDefault="001445BB" w:rsidP="001445BB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="00D84570" w:rsidRPr="005F23DA">
        <w:rPr>
          <w:rFonts w:ascii="Times New Roman" w:hAnsi="Times New Roman"/>
        </w:rPr>
        <w:t>če je pomoč pogojena s tem, da se delno ali v celoti p</w:t>
      </w:r>
      <w:r w:rsidR="00D84570">
        <w:rPr>
          <w:rFonts w:ascii="Times New Roman" w:hAnsi="Times New Roman"/>
        </w:rPr>
        <w:t>renese na primarne proizvajalce,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v ste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ajnem postopku, postopku prisilne poravnave ali likvidacije in je zoper</w:t>
      </w:r>
      <w:r>
        <w:rPr>
          <w:rFonts w:ascii="Times New Roman" w:hAnsi="Times New Roman"/>
        </w:rPr>
        <w:t xml:space="preserve"> </w:t>
      </w:r>
      <w:r w:rsidRPr="00D84570">
        <w:rPr>
          <w:rFonts w:ascii="Times New Roman" w:hAnsi="Times New Roman"/>
        </w:rPr>
        <w:t>prijavitelja tak postopek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oziroma je prijavitelj kapitalsko ali kako druga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e povezan s takim podjetjem ter v primeru 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 je prijavitelj kaznovan oziroma je zoper njega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kazenski postopek,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v stanju kapitalske neustreznosti po določilih zakonodaje o finan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nem poslovanju, oziroma je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tak postopek zoper prijavitelja,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opredeljeni kot podjetja v te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avah v skladu z zakonodajo o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evanju in prestrukturiranju dru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b v te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avah in pridobivajo dr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avno pomo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 po posebnem programu za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evanje in prestrukturiranje</w:t>
      </w:r>
      <w:r w:rsidRPr="00D84570">
        <w:rPr>
          <w:rFonts w:ascii="ArialMT" w:eastAsia="ArialMT" w:cs="ArialMT"/>
          <w:sz w:val="20"/>
          <w:szCs w:val="20"/>
          <w:lang w:eastAsia="sl-SI"/>
        </w:rPr>
        <w:t xml:space="preserve"> </w:t>
      </w:r>
      <w:r w:rsidRPr="00D84570">
        <w:rPr>
          <w:rFonts w:ascii="Times New Roman" w:hAnsi="Times New Roman"/>
        </w:rPr>
        <w:t>in izguba iz prej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 xml:space="preserve">njih let dosega polovico osnovnega kapitala, ki je izkazan v bilanci predhodnega leta ali 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 podjetje dobiva dr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avno pomo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 za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evanje in prestrukturiranje,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 xml:space="preserve">so za isti namen 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e prejeli sredstva bodisi iz lokalnih, regionalnih, dr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avnih ali mednarodnih virov,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>na dan oddaje vloge nimajo poravnanih obveznosti do Ob</w:t>
      </w:r>
      <w:r w:rsidRPr="00886D35">
        <w:rPr>
          <w:rFonts w:ascii="Times New Roman" w:hAnsi="Times New Roman" w:hint="eastAsia"/>
        </w:rPr>
        <w:t>č</w:t>
      </w:r>
      <w:r w:rsidRPr="00886D35">
        <w:rPr>
          <w:rFonts w:ascii="Times New Roman" w:hAnsi="Times New Roman"/>
        </w:rPr>
        <w:t xml:space="preserve">ine </w:t>
      </w:r>
      <w:r w:rsidR="00A3267C">
        <w:rPr>
          <w:rFonts w:ascii="Times New Roman" w:hAnsi="Times New Roman"/>
        </w:rPr>
        <w:t>Bistrica ob Sotli</w:t>
      </w:r>
      <w:r w:rsidRPr="00886D35">
        <w:rPr>
          <w:rFonts w:ascii="Times New Roman" w:hAnsi="Times New Roman"/>
        </w:rPr>
        <w:t xml:space="preserve"> in do dr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ave iz naslova davkov in prispevkov,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>velika podjetja.</w:t>
      </w:r>
    </w:p>
    <w:p w:rsidR="00886D35" w:rsidRDefault="00886D35" w:rsidP="00121109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Neizpolnjevanje katerega koli od navedenih pogojev je razlog za zavrnitev vloge.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se ugotovi, da prijavitelj na dan oddaje vloge ni izpolnjeval vseh navedenih pogojev, se vloga kot nepopolna zavrne oziroma je prijavitelj dol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an vrniti vsa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prejeta sredstva z zakonitimi zamudnimi obrestmi od dneva prejema sredstev do dneva vro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itve sklepa o njihovem vra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ilu.</w:t>
      </w: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ni dovoljena pri izvozu oziroma za dejavnosti povezane z izvozom v tretje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ave ali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ave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lanice, kot je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, neposredno povezana s koli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inami, z ustanovitvijo in delovanjem distribucijske mre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ali drugimi teko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imi izdatki, povezanimi z izvozno dejavnostjo.</w:t>
      </w: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Skupna vrednost dodeljene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i, enotnemu podjetju, na podlagi pravila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»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«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ne sme prese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200.000,00 EUR v kateremkoli obdobju zadnjih treh prora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unskih let, ne glede na obliko ali namen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ter ne glede na to, ali se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dodeli iz sredstev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ave, ob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ine ali Unije. V primeru podjetij, ki delujejo v komercialnem cestnem tovornem prevozu, zna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 zgornja dovoljena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100.000,00 EUR v obdobju zadnjih treh prora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unskih let.</w:t>
      </w:r>
    </w:p>
    <w:p w:rsid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podjetje opravlja komercialno cestne prevoze tovora in tudi druge dejavnosti, za katere se uporablja zgornja dovoljena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do 200.000,00 EUR, se uporablja zgornja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v vi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ini 200.000,00 EUR za to podjetje le,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to podjetje lo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eno vodi stro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ke poslovanja po dejavnostih v komercialno cestnem tovornem prevozu in lo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eno za druge dejavnosti, ter zagotovi, da korist za dejavnost komercialno cestne prevoze tovora ne presega 100.000,00 EUR v dovoljenem obdobju.</w:t>
      </w:r>
    </w:p>
    <w:p w:rsidR="00886D35" w:rsidRDefault="00FD5EAF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primeru združitev ali pripojitev podjetij se vsa prejšnja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dodeljena kateremu koli od podjetij, udeleženih v združitvi, upošteva pri ugotavljanju, ali nova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 za novo ali prevzemno podjetje presega ustrezno zgornjo mejo.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«, ki je bila dodeljena pred združitvijo ali prevzemom, ostane zakonita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D5EAF" w:rsidRPr="00886D35" w:rsidRDefault="00FD5EAF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Če se podjetje razdeli na dve ali več ločenih podjetij, se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dodeljena pred razdelitvijo, dodeli podjetju, ki jo je koristilo, in je načeloma to podjetje, ki prevzame dejavnosti, za katere se je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 uporabila. Če taka dodelitev ni mogoča, se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« dodeli sorazmerno na podlagi knjigovodske vrednosti lastniškega kapitala novih podjetij na dejanski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datum razdelitve.</w:t>
      </w:r>
    </w:p>
    <w:p w:rsidR="00E707DE" w:rsidRDefault="00E707DE" w:rsidP="00E707DE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Upošteva se kumulacija pomoči in sicer: </w:t>
      </w:r>
    </w:p>
    <w:p w:rsidR="00E707DE" w:rsidRPr="00E707DE" w:rsidRDefault="00E707DE" w:rsidP="00E707DE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pomoč »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se ne sme kumulirati z d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rž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avno pomočjo v zvezi z istimi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upravičenimi stroški ali dr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avno pomočjo za isti ukrep za financiranje tveganja,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bi se s takšno kumulacijo presegla največja intenzivnost pomoči ali znesek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pomoči,</w:t>
      </w:r>
    </w:p>
    <w:p w:rsidR="00E707DE" w:rsidRDefault="007950F7" w:rsidP="00E707DE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pomoč 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v skladu z Uredbo Komisije (EU) št. 1407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2013, se lahko kumulira s pomočjo 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«,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dodeljeno v skladu z Uredbo Komis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je (EU) št. 360/20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2 do zgornje meje, določene v uredbi 360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2012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5640E6" w:rsidRDefault="005640E6" w:rsidP="005640E6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pomoč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v skladu z Uredbo Komisije (EU) št. 1407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2013 se lahko kumulira s pomočjo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, dodeljeno v skladu z drug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mi uredbami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ustrezne zgornje meje (200.000,00 oziroma 100.000,00 EUR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).</w:t>
      </w:r>
    </w:p>
    <w:p w:rsidR="005640E6" w:rsidRDefault="005640E6" w:rsidP="005640E6">
      <w:pPr>
        <w:pStyle w:val="Odstavekseznama"/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5640E6" w:rsidRDefault="00F27902" w:rsidP="005640E6">
      <w:pPr>
        <w:pStyle w:val="Odstavekseznama"/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1505A2" w:rsidRDefault="005640E6" w:rsidP="005640E6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POGOJI, KI MORAJO BITI DODATNO IZPOLNJENI ZA 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5640E6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– DODELITEV SREDSTEV ZA SPODBUJANJE NOVIH DELOVNIH MEST IN SAMOZAPOSLOVANJA</w:t>
      </w:r>
    </w:p>
    <w:p w:rsidR="005640E6" w:rsidRPr="007C4C79" w:rsidRDefault="005640E6" w:rsidP="007C4C79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7C4C79" w:rsidRDefault="007C4C79" w:rsidP="007C4C79">
      <w:pPr>
        <w:pStyle w:val="Odstavekseznama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Dodatni pogoji za pridobitev sredstev za ukrep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novih delovnih mest in samozaposlovanja) so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delovno mesto, za katero je pridobljena pomoč, se mo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ra ohraniti najmanj dve leti po 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prejemu pomoči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novo delovno mesto mora predstavljati povečanje števila zaposlenih v podjetju v pr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merjavi s povprečjem v zadnjih 12 mesecih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realizacija samozaposlitve oziroma novega delovnega mesta mora biti izvedena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0523A2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novo </w:t>
      </w:r>
      <w:r w:rsidR="00886D35">
        <w:rPr>
          <w:rFonts w:ascii="Times New Roman" w:eastAsia="Tahoma" w:hAnsi="Times New Roman" w:cs="Times New Roman"/>
          <w:sz w:val="24"/>
          <w:szCs w:val="24"/>
          <w:lang w:eastAsia="sl-SI"/>
        </w:rPr>
        <w:t>ustvarjeno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delovno mesto je mogoče zaposliti osebo s stalnim bivališčem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(zaposlitev se dokazuje s kopijo podpisane pogodbe o zaposlitvi ter 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obrazcem, upravičene stroške pa se dokazuje s kopijo plačilne liste ter s potrdilom o plačanih prispevkih delodajalca za socialno varnost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0523A2" w:rsidRDefault="000523A2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da brezposelna oseba, ki se zaposluje, ni imela zadnje zaposlitve pri upravičencu ali njegovih povezanih dru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bah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;</w:t>
      </w:r>
    </w:p>
    <w:p w:rsidR="005640E6" w:rsidRDefault="000523A2" w:rsidP="000523A2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 primeru, da je vlagatelj brezposelna oseba, je pogoj za pridobitev sredstev izražena namera za samozaposlitev, kar vlagatelj doka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 s predlo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itvijo poslovnega načrta za samozapos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tev, dokazilom o registraciji podjetja in potrjenim obrazcem M1/M2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Upravičeni prejemnik mora ostati samozaposlen najmanj eno leto po prejemu sredstev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0523A2" w:rsidRDefault="000523A2" w:rsidP="000523A2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Pr="00FD5EAF" w:rsidRDefault="000523A2" w:rsidP="00FD5EAF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VSEBINA VLOGE IN ZAHTEVANA DOKAZILA</w:t>
      </w:r>
    </w:p>
    <w:p w:rsidR="000523A2" w:rsidRDefault="000523A2" w:rsidP="000523A2">
      <w:pPr>
        <w:tabs>
          <w:tab w:val="left" w:pos="2460"/>
        </w:tabs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Vlogi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sta dostopni na spletni strani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Pr="000523A2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http:/www.</w:t>
      </w:r>
      <w:r w:rsidR="002C6D8B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bistricaobsotli</w:t>
      </w:r>
      <w:r w:rsidRPr="000523A2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.si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6D7D39">
        <w:rPr>
          <w:rFonts w:ascii="Times New Roman" w:eastAsia="Tahoma" w:hAnsi="Times New Roman" w:cs="Times New Roman"/>
          <w:sz w:val="24"/>
          <w:szCs w:val="24"/>
          <w:lang w:eastAsia="sl-SI"/>
        </w:rPr>
        <w:t>m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no pa ju je tudi osebno prevzeti v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tajništvu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 času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uradnih ur, in sicer z dnem objave na uradni spletni strani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Obema vlogama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je potrebno priložiti naslednja obvezna dokazila: </w:t>
      </w:r>
    </w:p>
    <w:p w:rsidR="000523A2" w:rsidRDefault="000523A2" w:rsidP="000523A2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pisno izjavo o strinjanju z razpisnimi pogoji,</w:t>
      </w:r>
    </w:p>
    <w:p w:rsidR="000523A2" w:rsidRDefault="000523A2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 vseh drugih pomočeh 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, ki jih je upravičenec prejel na podlagi Pravilnika o dodeljevanju finančnih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sredstev iz občinskega proračuna za pospeševanje razvoja malega gospodarstva v obč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ni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drugih uredb 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de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 predhodnih  dveh in v tekočem proračunskem letu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pisno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avo o drugih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e prejetih (ali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zaprošenih) pomočeh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za iste upravičene stroške,</w:t>
      </w:r>
    </w:p>
    <w:p w:rsidR="00E62870" w:rsidRDefault="00E62870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 oziroma zagotovilo, da z dodeljenim zneskom pomoči »de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ne bo presežena zgornja meja »de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« pomoči ter intenzivnosti pomoči po drugih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predpisih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E62870" w:rsidRDefault="00E62870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pisno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avo, da za ta namen niste prejeli sredstev iz dr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avnega proračuna oziroma drugih virov (v primeru, da so bila sredstva 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je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ta, je potrebno navesti višino prejetih sredstev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E62870" w:rsidRP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izjavo, da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organizacija ne posluje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žigom, kolikor kot pravna oseba  ne posluje</w:t>
      </w:r>
      <w:r w:rsid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žigom,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odločbo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pristojnega organa o izpolnjevanju pogojev za opravljanje dejavnosti (npr. obrtno dovoljenje za opravljanje dejavnosti, ki so navedene v Uredbi o obrtnih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dejavnostih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o poravnanih davkih, prispevkih in ostalih zapadlih obveznosti do d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ave na dan oddaje vloge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0569F" w:rsidRPr="0010569F" w:rsidRDefault="00E62870" w:rsidP="0010569F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Izpolnjeni vlogi za 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A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(spodbujanje začetnih investicij in investicij v razširjene dejavnosti in razvoj) 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potrebno pr</w:t>
      </w:r>
      <w:r w:rsidR="0010569F">
        <w:rPr>
          <w:rFonts w:ascii="Times New Roman" w:eastAsia="Tahoma" w:hAnsi="Times New Roman" w:cs="Times New Roman"/>
          <w:sz w:val="24"/>
          <w:szCs w:val="24"/>
          <w:lang w:eastAsia="sl-SI"/>
        </w:rPr>
        <w:t>edložiti še naslednja dokazila:</w:t>
      </w:r>
    </w:p>
    <w:p w:rsidR="000523A2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pisno izjavo prosilca o višini lastnih sredstev za posamezen primer,</w:t>
      </w:r>
    </w:p>
    <w:p w:rsid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izjavo,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da podjetje ni v te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avah in da predstavlja razpisana pomoč spodbudo za izvedbo nameravanega projekta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10569F" w:rsidRP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račun oziroma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drugo pravno podlago za plačilo upravičenih stroškov za mater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alne in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nematerialne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investicije v zvezi z ukrepom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dokazilo o plačilu upravi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enih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stroškov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D5EAF" w:rsidRDefault="00FD5EA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t>Vlagatelj mora ob prijavi na razpis predložiti izjavo, da za isti namen ni pridobil oziroma ni v postopku pridobivanja dodatnih sredstev iz kateregakoli drugega javnega vira.</w:t>
      </w:r>
    </w:p>
    <w:p w:rsidR="0010569F" w:rsidRDefault="0010569F" w:rsidP="0010569F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0569F" w:rsidRDefault="0010569F" w:rsidP="0010569F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Izpolnjeni vlogi za 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(spodbujanje </w:t>
      </w: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odpiranja novih delovnih mest in samozaposlovanja)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potrebno predložiti še naslednja dokazila:</w:t>
      </w:r>
    </w:p>
    <w:p w:rsidR="0010569F" w:rsidRPr="0010569F" w:rsidRDefault="0010569F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izpis seznama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zavarovanih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ab/>
        <w:t>oseb za preteklo in tekoče leto</w:t>
      </w:r>
      <w:r w:rsidR="0054492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(v primeru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odpiranja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novih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delovnih mest),</w:t>
      </w:r>
    </w:p>
    <w:p w:rsidR="0010569F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zaposlitvi (fotokopija obrazca M1), za osebo, ki je zasedla</w:t>
      </w:r>
      <w:r w:rsidR="0010569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novoustanovljeno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delovno mesto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potrdilo Zavoda Republike Slovenije za zaposlovanje, da je bila oseba, ki je zasedla novoustanovljeno delovno mesto oziroma pričela opravljati dejavnost kot samos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tojni podjetnik pred tem vodena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v evidenci brezposelnih oseb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fotokopija pogodbe o zaposlitvi za osebo, ki je zasedla novoustanovljeno delovno mesto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P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oddanih REK obrazc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za osebo, ki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je zasedla delovno mesto, za katero se uveljavljajo finančna sredstva oziroma za osebo, ki je registrirana kot samostojni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podjetnik,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stalnem prebivališču za osebo, ki je pričela opravljati dejavnost  kot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samostojni podjetnik,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registraciji in potrjen obrazec M1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M2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P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odločbo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izpolnjevanju predpisanih  pogojev za opravljanje pridobitne dejavnosti  in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priglasitveni  list (za s.p.),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plačanih prispevkih delodajalca za socialno varnost (v primeru odpiranja novih delovnih mest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poslovni načrt za samozaposlitev.</w:t>
      </w:r>
    </w:p>
    <w:p w:rsidR="00544926" w:rsidRPr="00544926" w:rsidRDefault="00544926" w:rsidP="00544926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Default="00544926" w:rsidP="005D5346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KRITERIJI IN MERILA ZA KORIŠČENJE SREDSTEV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2656B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Najvišja dodeljena višina sredstev za posamezen ukrep znaša</w:t>
      </w:r>
      <w:r w:rsid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2656B9" w:rsidRDefault="00E24299" w:rsidP="002656B9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največ do višine razpolo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ljivih proračunskih sredstev 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z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a ukrep Spodbujanje odpiranja novih delovnih mest in samozaposlovanja</w:t>
      </w:r>
      <w:r w:rsidR="002656B9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AF1D1B" w:rsidRDefault="00E24299" w:rsidP="002656B9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v višini do 50 % upravičenih stroškov za posamezna investicijska vlaganja ali nakup nematerialnih pravic oz. največ do višine razpoložljivih proračunskih sredstev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ukrep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začetnih investicij in investicij v razširjenje dejavnosti in razvoj. </w:t>
      </w:r>
    </w:p>
    <w:p w:rsidR="00AF1D1B" w:rsidRDefault="00AF1D1B" w:rsidP="00AF1D1B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AF1D1B" w:rsidRDefault="00E24299" w:rsidP="00AF1D1B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AF1D1B">
        <w:rPr>
          <w:rFonts w:ascii="Times New Roman" w:eastAsia="Tahoma" w:hAnsi="Times New Roman" w:cs="Times New Roman"/>
          <w:sz w:val="24"/>
          <w:szCs w:val="24"/>
          <w:lang w:eastAsia="sl-SI"/>
        </w:rPr>
        <w:t>Višina sredstev, ki se dodeli posameznemu upravičencu, je odvisna od števila prejetih popolnih vlog ter višine razpoložljivih sredstev v okviru posameznega ukrepa.</w:t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D5346" w:rsidRPr="005D5346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t xml:space="preserve">V kolikor bo glede na </w:t>
      </w:r>
      <w:r w:rsidR="005D5346" w:rsidRPr="005D5346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lastRenderedPageBreak/>
        <w:t>število vlog in odobreno višino upravičenih sredstev predvidenih sredstev za javni razpis premalo, se bodo vsem upravičencem dodeljena sredstva sorazmerno znižala</w:t>
      </w:r>
      <w:r w:rsidRPr="00AF1D1B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Prijavitelj lahko v okv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ru posameznega  ukrepa predlo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i največ 2 vlogi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AF1D1B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V primeru, da je po prvem odpiranju in dodelitvi sredstev povpraševanje po sredstvih  za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spodbujanje začetnih investicij in investicij v razširjene dejavnosti in razvoj večje kot povpraševanje po sredstvih za spodbujanje odpiranja novih delovnih mest in samozaposlovanja ali obratno, se lahko sredstv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 prerazporedijo na namen, kjer je 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povpraševanje večje.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Default="00E24299" w:rsidP="00E24299">
      <w:pPr>
        <w:pStyle w:val="Odstavekseznama"/>
        <w:tabs>
          <w:tab w:val="left" w:pos="2460"/>
        </w:tabs>
        <w:spacing w:after="0" w:line="240" w:lineRule="auto"/>
        <w:ind w:left="740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E24299" w:rsidRDefault="00E24299" w:rsidP="005D5346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ROK IN NAČIN PRIJAVE NA JAVNI RAZPIS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3706A6">
      <w:pPr>
        <w:spacing w:after="0" w:line="240" w:lineRule="auto"/>
        <w:ind w:left="20" w:firstLine="1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Prosilci oddajo vloge na predpisanih razpisnih obrazcih skupaj s predpisano dokumentacijo v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tajništvu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pošljejo po pošti na naslov: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 17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3256</w:t>
      </w:r>
      <w:r w:rsidR="003706A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40" w:firstLine="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Rok za oddajo vlog je </w:t>
      </w:r>
      <w:r w:rsidR="00C17DFF">
        <w:rPr>
          <w:rFonts w:ascii="Times New Roman" w:eastAsia="Tahoma" w:hAnsi="Times New Roman" w:cs="Times New Roman"/>
          <w:sz w:val="24"/>
          <w:szCs w:val="24"/>
          <w:lang w:eastAsia="sl-SI"/>
        </w:rPr>
        <w:t>30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. 201</w:t>
      </w:r>
      <w:r w:rsidR="00C17DFF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. Č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 je vloga poslana priporočeno po pošti,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se za dan vlo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itve vloge šteje dan oddaje na pošto, če pa je vloga pos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lana z navadno pošto ali oddana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osebno v sprejemni  pisarni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mora prispeti najpozneje do </w:t>
      </w:r>
      <w:r w:rsidR="00C17DFF">
        <w:rPr>
          <w:rFonts w:ascii="Times New Roman" w:eastAsia="Tahoma" w:hAnsi="Times New Roman" w:cs="Times New Roman"/>
          <w:sz w:val="24"/>
          <w:szCs w:val="24"/>
          <w:lang w:eastAsia="sl-SI"/>
        </w:rPr>
        <w:t>30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 201</w:t>
      </w:r>
      <w:r w:rsidR="00C17DFF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CB7D8C">
      <w:pPr>
        <w:spacing w:after="0" w:line="240" w:lineRule="auto"/>
        <w:ind w:left="20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Vloga mora biti speta in oddana v zaprti ovojnici ter ustrezno ozna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ena.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40" w:hanging="13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 primeru, da oddajate več vlog (vendar največ dve) v okviru enega ukrepa, so le-te lahko posredovane v 1 ovojnici, vendar morajo biti posamezne vloge spete ločeno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Na sprednji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strani posamezne ovojnice  mora biti napisano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: </w:t>
      </w:r>
    </w:p>
    <w:p w:rsidR="00C704E7" w:rsidRPr="000523A2" w:rsidRDefault="00597206" w:rsidP="00CB7D8C">
      <w:pPr>
        <w:tabs>
          <w:tab w:val="left" w:pos="8220"/>
        </w:tabs>
        <w:spacing w:after="0" w:line="240" w:lineRule="auto"/>
        <w:ind w:left="40"/>
        <w:rPr>
          <w:rFonts w:ascii="Times New Roman" w:eastAsia="Tahoma" w:hAnsi="Times New Roman" w:cs="Times New Roman"/>
          <w:sz w:val="24"/>
          <w:szCs w:val="24"/>
          <w:vertAlign w:val="superscript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NE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DPIRAJ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JAVN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RA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ZPIS – MALO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G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OS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DAR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S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TV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20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C17DFF">
        <w:rPr>
          <w:rFonts w:ascii="Times New Roman" w:eastAsia="Tahoma" w:hAnsi="Times New Roman" w:cs="Times New Roman"/>
          <w:sz w:val="24"/>
          <w:szCs w:val="24"/>
          <w:lang w:eastAsia="sl-SI"/>
        </w:rPr>
        <w:t>9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UKREP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__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>____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__«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597206" w:rsidP="00597206">
      <w:pPr>
        <w:spacing w:after="0" w:line="240" w:lineRule="auto"/>
        <w:ind w:left="60" w:hanging="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bčina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lahko od 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>prosilca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zahteva tudi dodatno dokumentacijo. V primeru, da vloga ne bo dopolnjena v določenem roku, se s sklepom zavr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e. V primeru ugotovljene nenamenske porabe sredstev, v primeru zavajajočih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zjav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v primeru neizpolnitve projekta iz sklenjene pogodbe, je prejemnik sredstev dol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an takoj vrniti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</w:t>
      </w:r>
      <w:r w:rsidR="00C704E7" w:rsidRPr="000523A2">
        <w:rPr>
          <w:rFonts w:ascii="Times New Roman" w:eastAsia="Tahoma" w:hAnsi="Times New Roman" w:cs="Times New Roman"/>
          <w:sz w:val="24"/>
          <w:szCs w:val="24"/>
        </w:rPr>
        <w:t xml:space="preserve">sredstva skupaj z zakonitimi zamudnimi obresti, ki se obračunavajo od dneva plačila upravičencem. </w:t>
      </w:r>
    </w:p>
    <w:p w:rsidR="00C704E7" w:rsidRPr="000523A2" w:rsidRDefault="00C704E7" w:rsidP="00CB7D8C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Komisija bo po obravnavanju vlog pripravila predlog o dodelitv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sredstev.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bčinska uprava bo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upravičencem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izdala sklep o 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višini odobrenih sredstev za posamezni ukrep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najpozneje v roku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30 dni po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sprejemu odločitve.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06603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Evidence o individualni pomoči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Obči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hrani 10 let od datuma dodelitve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pomoči.</w:t>
      </w:r>
    </w:p>
    <w:p w:rsidR="00C704E7" w:rsidRPr="000523A2" w:rsidRDefault="00C704E7" w:rsidP="0059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Vse dodatne informacije lahko dobite na sede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bčine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 17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3256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po telefonu 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597206"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/ </w:t>
      </w:r>
      <w:r w:rsidR="00E717D6"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800 15 00 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ali po e-pošti: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obcina@bistricaobsotli.si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C17DFF" w:rsidRDefault="00C704E7" w:rsidP="00597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C704E7" w:rsidRPr="00873399" w:rsidRDefault="00C704E7" w:rsidP="00BF316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7339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Številka: </w:t>
      </w:r>
      <w:r w:rsidR="00512F4C">
        <w:rPr>
          <w:rFonts w:ascii="Times New Roman" w:eastAsia="Tahoma" w:hAnsi="Times New Roman" w:cs="Times New Roman"/>
          <w:sz w:val="24"/>
          <w:szCs w:val="24"/>
          <w:lang w:eastAsia="sl-SI"/>
        </w:rPr>
        <w:t>319-0001/2019-1</w:t>
      </w:r>
      <w:bookmarkStart w:id="0" w:name="_GoBack"/>
      <w:bookmarkEnd w:id="0"/>
    </w:p>
    <w:p w:rsidR="007F17C6" w:rsidRPr="00873399" w:rsidRDefault="00C704E7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7339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Datum: </w:t>
      </w:r>
      <w:r w:rsidR="00E717D6">
        <w:rPr>
          <w:rFonts w:ascii="Times New Roman" w:eastAsia="Tahoma" w:hAnsi="Times New Roman" w:cs="Times New Roman"/>
          <w:sz w:val="24"/>
          <w:szCs w:val="24"/>
          <w:lang w:eastAsia="sl-SI"/>
        </w:rPr>
        <w:t>02.07.2019</w:t>
      </w:r>
    </w:p>
    <w:p w:rsidR="00667295" w:rsidRDefault="00667295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7F17C6" w:rsidRDefault="007F17C6" w:rsidP="00597206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   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Franjo Debelak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282268" w:rsidRPr="00BF316E" w:rsidRDefault="007F17C6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        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Župan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sectPr w:rsidR="00282268" w:rsidRPr="00BF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FFFFFFFF">
      <w:start w:val="3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190CDE6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6EF438C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40E0F76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352255A"/>
    <w:lvl w:ilvl="0" w:tplc="FFFFFFFF">
      <w:start w:val="22"/>
      <w:numFmt w:val="upp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09CF92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5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41A7C4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B68079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E6AFB66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25E45D3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1019B3"/>
    <w:multiLevelType w:val="hybridMultilevel"/>
    <w:tmpl w:val="78747DE4"/>
    <w:lvl w:ilvl="0" w:tplc="BEBE262A">
      <w:start w:val="2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E0C0A"/>
    <w:multiLevelType w:val="hybridMultilevel"/>
    <w:tmpl w:val="0414DFF8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06FF02DB"/>
    <w:multiLevelType w:val="hybridMultilevel"/>
    <w:tmpl w:val="318AC486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08D57377"/>
    <w:multiLevelType w:val="hybridMultilevel"/>
    <w:tmpl w:val="5C0CC882"/>
    <w:lvl w:ilvl="0" w:tplc="3F04F50C">
      <w:start w:val="6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0C827F49"/>
    <w:multiLevelType w:val="hybridMultilevel"/>
    <w:tmpl w:val="2C9A8210"/>
    <w:lvl w:ilvl="0" w:tplc="1C4CE2E0">
      <w:start w:val="1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70A58"/>
    <w:multiLevelType w:val="hybridMultilevel"/>
    <w:tmpl w:val="3B1298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A05DA"/>
    <w:multiLevelType w:val="hybridMultilevel"/>
    <w:tmpl w:val="40F8B9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14967"/>
    <w:multiLevelType w:val="hybridMultilevel"/>
    <w:tmpl w:val="4BC888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96A98"/>
    <w:multiLevelType w:val="hybridMultilevel"/>
    <w:tmpl w:val="A462C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F3422"/>
    <w:multiLevelType w:val="hybridMultilevel"/>
    <w:tmpl w:val="986874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E7B8B"/>
    <w:multiLevelType w:val="hybridMultilevel"/>
    <w:tmpl w:val="2506B6F2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BD6098"/>
    <w:multiLevelType w:val="hybridMultilevel"/>
    <w:tmpl w:val="AB849BFA"/>
    <w:lvl w:ilvl="0" w:tplc="66789EBA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E14761"/>
    <w:multiLevelType w:val="hybridMultilevel"/>
    <w:tmpl w:val="5254B87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BD4D96"/>
    <w:multiLevelType w:val="hybridMultilevel"/>
    <w:tmpl w:val="7D8C0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81641"/>
    <w:multiLevelType w:val="hybridMultilevel"/>
    <w:tmpl w:val="F0045DBC"/>
    <w:lvl w:ilvl="0" w:tplc="66789EBA">
      <w:start w:val="1"/>
      <w:numFmt w:val="bullet"/>
      <w:lvlText w:val="-"/>
      <w:lvlJc w:val="left"/>
      <w:pPr>
        <w:ind w:left="862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92D4CB5"/>
    <w:multiLevelType w:val="hybridMultilevel"/>
    <w:tmpl w:val="058AC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29AF"/>
    <w:multiLevelType w:val="hybridMultilevel"/>
    <w:tmpl w:val="CCDA4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45E1B"/>
    <w:multiLevelType w:val="hybridMultilevel"/>
    <w:tmpl w:val="FA621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617B"/>
    <w:multiLevelType w:val="hybridMultilevel"/>
    <w:tmpl w:val="F5BCF3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A3F01"/>
    <w:multiLevelType w:val="hybridMultilevel"/>
    <w:tmpl w:val="7BD65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12B31"/>
    <w:multiLevelType w:val="hybridMultilevel"/>
    <w:tmpl w:val="71AA14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53C75"/>
    <w:multiLevelType w:val="hybridMultilevel"/>
    <w:tmpl w:val="700A994E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75A056D1"/>
    <w:multiLevelType w:val="hybridMultilevel"/>
    <w:tmpl w:val="8236B9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0258B"/>
    <w:multiLevelType w:val="hybridMultilevel"/>
    <w:tmpl w:val="182A6D44"/>
    <w:lvl w:ilvl="0" w:tplc="0424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1"/>
  </w:num>
  <w:num w:numId="6">
    <w:abstractNumId w:val="29"/>
  </w:num>
  <w:num w:numId="7">
    <w:abstractNumId w:val="20"/>
  </w:num>
  <w:num w:numId="8">
    <w:abstractNumId w:val="24"/>
  </w:num>
  <w:num w:numId="9">
    <w:abstractNumId w:val="27"/>
  </w:num>
  <w:num w:numId="10">
    <w:abstractNumId w:val="3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38"/>
  </w:num>
  <w:num w:numId="16">
    <w:abstractNumId w:val="7"/>
  </w:num>
  <w:num w:numId="17">
    <w:abstractNumId w:val="22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8"/>
  </w:num>
  <w:num w:numId="27">
    <w:abstractNumId w:val="37"/>
  </w:num>
  <w:num w:numId="28">
    <w:abstractNumId w:val="17"/>
  </w:num>
  <w:num w:numId="29">
    <w:abstractNumId w:val="26"/>
  </w:num>
  <w:num w:numId="30">
    <w:abstractNumId w:val="32"/>
  </w:num>
  <w:num w:numId="31">
    <w:abstractNumId w:val="34"/>
  </w:num>
  <w:num w:numId="32">
    <w:abstractNumId w:val="33"/>
  </w:num>
  <w:num w:numId="33">
    <w:abstractNumId w:val="23"/>
  </w:num>
  <w:num w:numId="34">
    <w:abstractNumId w:val="28"/>
  </w:num>
  <w:num w:numId="35">
    <w:abstractNumId w:val="35"/>
  </w:num>
  <w:num w:numId="36">
    <w:abstractNumId w:val="30"/>
  </w:num>
  <w:num w:numId="37">
    <w:abstractNumId w:val="21"/>
  </w:num>
  <w:num w:numId="38">
    <w:abstractNumId w:val="36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68"/>
    <w:rsid w:val="000523A2"/>
    <w:rsid w:val="00066035"/>
    <w:rsid w:val="000C09C3"/>
    <w:rsid w:val="0010569F"/>
    <w:rsid w:val="00106ED5"/>
    <w:rsid w:val="00121109"/>
    <w:rsid w:val="001445BB"/>
    <w:rsid w:val="001505A2"/>
    <w:rsid w:val="00167B7C"/>
    <w:rsid w:val="001A7EAC"/>
    <w:rsid w:val="001F3537"/>
    <w:rsid w:val="00242C52"/>
    <w:rsid w:val="00253BFB"/>
    <w:rsid w:val="002656B9"/>
    <w:rsid w:val="00282268"/>
    <w:rsid w:val="002C6D8B"/>
    <w:rsid w:val="002C6FFD"/>
    <w:rsid w:val="002D7482"/>
    <w:rsid w:val="002E2C39"/>
    <w:rsid w:val="00347476"/>
    <w:rsid w:val="003706A6"/>
    <w:rsid w:val="003927A2"/>
    <w:rsid w:val="003E1854"/>
    <w:rsid w:val="0047594D"/>
    <w:rsid w:val="00493B61"/>
    <w:rsid w:val="00512F4C"/>
    <w:rsid w:val="00525F29"/>
    <w:rsid w:val="00544926"/>
    <w:rsid w:val="005640E6"/>
    <w:rsid w:val="00597206"/>
    <w:rsid w:val="005B60F1"/>
    <w:rsid w:val="005D5346"/>
    <w:rsid w:val="00667295"/>
    <w:rsid w:val="00674656"/>
    <w:rsid w:val="00676A36"/>
    <w:rsid w:val="006941D1"/>
    <w:rsid w:val="006947A9"/>
    <w:rsid w:val="006B5040"/>
    <w:rsid w:val="006D7D39"/>
    <w:rsid w:val="006F6F46"/>
    <w:rsid w:val="00703652"/>
    <w:rsid w:val="007950F7"/>
    <w:rsid w:val="007B346C"/>
    <w:rsid w:val="007C4C79"/>
    <w:rsid w:val="007F17C6"/>
    <w:rsid w:val="00803F38"/>
    <w:rsid w:val="00841FF4"/>
    <w:rsid w:val="00873399"/>
    <w:rsid w:val="008753ED"/>
    <w:rsid w:val="00886D35"/>
    <w:rsid w:val="008902A1"/>
    <w:rsid w:val="00921188"/>
    <w:rsid w:val="0097191E"/>
    <w:rsid w:val="009816FE"/>
    <w:rsid w:val="009F11BF"/>
    <w:rsid w:val="00A052A0"/>
    <w:rsid w:val="00A3267C"/>
    <w:rsid w:val="00AD0C36"/>
    <w:rsid w:val="00AD1D4A"/>
    <w:rsid w:val="00AF1D1B"/>
    <w:rsid w:val="00B23647"/>
    <w:rsid w:val="00B37A86"/>
    <w:rsid w:val="00B9316C"/>
    <w:rsid w:val="00BB468D"/>
    <w:rsid w:val="00BC698B"/>
    <w:rsid w:val="00BD1D75"/>
    <w:rsid w:val="00BF316E"/>
    <w:rsid w:val="00C03525"/>
    <w:rsid w:val="00C17DFF"/>
    <w:rsid w:val="00C5716A"/>
    <w:rsid w:val="00C704E7"/>
    <w:rsid w:val="00C71CF5"/>
    <w:rsid w:val="00C8273C"/>
    <w:rsid w:val="00CB6FDD"/>
    <w:rsid w:val="00CB7D8C"/>
    <w:rsid w:val="00D65B50"/>
    <w:rsid w:val="00D84570"/>
    <w:rsid w:val="00DC4093"/>
    <w:rsid w:val="00DD1D27"/>
    <w:rsid w:val="00E045D2"/>
    <w:rsid w:val="00E24299"/>
    <w:rsid w:val="00E44CC7"/>
    <w:rsid w:val="00E62870"/>
    <w:rsid w:val="00E707DE"/>
    <w:rsid w:val="00E717D6"/>
    <w:rsid w:val="00E92D4A"/>
    <w:rsid w:val="00EA2518"/>
    <w:rsid w:val="00ED4163"/>
    <w:rsid w:val="00EF1F01"/>
    <w:rsid w:val="00F2695E"/>
    <w:rsid w:val="00F27902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4606"/>
  <w15:chartTrackingRefBased/>
  <w15:docId w15:val="{705F2470-C922-41DB-8C64-ACD6574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226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8A1121-0E2E-40F3-B06E-CFC757B2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Crljenkovič</dc:creator>
  <cp:keywords/>
  <dc:description/>
  <cp:lastModifiedBy>LCentrih</cp:lastModifiedBy>
  <cp:revision>10</cp:revision>
  <cp:lastPrinted>2018-06-04T05:03:00Z</cp:lastPrinted>
  <dcterms:created xsi:type="dcterms:W3CDTF">2019-06-21T07:32:00Z</dcterms:created>
  <dcterms:modified xsi:type="dcterms:W3CDTF">2019-07-02T07:39:00Z</dcterms:modified>
</cp:coreProperties>
</file>